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r>
        <w:rPr>
          <w:rFonts w:hint="eastAsia" w:ascii="黑体" w:hAnsi="黑体" w:eastAsia="黑体"/>
          <w:sz w:val="32"/>
          <w:szCs w:val="30"/>
        </w:rPr>
        <w:t>附件</w:t>
      </w:r>
      <w:r>
        <w:rPr>
          <w:rFonts w:ascii="黑体" w:hAnsi="黑体" w:eastAsia="黑体"/>
          <w:sz w:val="32"/>
          <w:szCs w:val="30"/>
        </w:rPr>
        <w:t>1</w:t>
      </w:r>
    </w:p>
    <w:p>
      <w:pPr>
        <w:adjustRightInd w:val="0"/>
        <w:snapToGrid w:val="0"/>
        <w:spacing w:after="156" w:afterLines="50" w:line="500" w:lineRule="exact"/>
        <w:rPr>
          <w:rFonts w:eastAsia="方正小标宋简体"/>
          <w:sz w:val="36"/>
          <w:szCs w:val="30"/>
        </w:rPr>
      </w:pPr>
    </w:p>
    <w:p>
      <w:pPr>
        <w:adjustRightInd w:val="0"/>
        <w:snapToGrid w:val="0"/>
        <w:spacing w:after="156" w:afterLines="50" w:line="500" w:lineRule="exact"/>
        <w:jc w:val="center"/>
        <w:rPr>
          <w:rFonts w:eastAsia="方正小标宋简体"/>
          <w:sz w:val="36"/>
          <w:szCs w:val="30"/>
        </w:rPr>
      </w:pPr>
      <w:bookmarkStart w:id="0" w:name="_GoBack"/>
      <w:r>
        <w:rPr>
          <w:rFonts w:eastAsia="方正小标宋简体"/>
          <w:sz w:val="36"/>
          <w:szCs w:val="30"/>
        </w:rPr>
        <w:t>高</w:t>
      </w:r>
      <w:r>
        <w:rPr>
          <w:rFonts w:hint="eastAsia" w:eastAsia="方正小标宋简体"/>
          <w:sz w:val="36"/>
          <w:szCs w:val="30"/>
        </w:rPr>
        <w:t>等</w:t>
      </w:r>
      <w:r>
        <w:rPr>
          <w:rFonts w:eastAsia="方正小标宋简体"/>
          <w:sz w:val="36"/>
          <w:szCs w:val="30"/>
        </w:rPr>
        <w:t>学校实验室安全检查项目</w:t>
      </w:r>
      <w:r>
        <w:rPr>
          <w:rFonts w:hint="eastAsia" w:eastAsia="方正小标宋简体"/>
          <w:sz w:val="36"/>
          <w:szCs w:val="30"/>
        </w:rPr>
        <w:t>表</w:t>
      </w:r>
      <w:r>
        <w:rPr>
          <w:rFonts w:eastAsia="方正小标宋简体"/>
          <w:sz w:val="36"/>
          <w:szCs w:val="30"/>
        </w:rPr>
        <w:t>（2019）</w:t>
      </w:r>
      <w:bookmarkEnd w:id="0"/>
    </w:p>
    <w:tbl>
      <w:tblPr>
        <w:tblStyle w:val="3"/>
        <w:tblW w:w="14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blHeader/>
          <w:jc w:val="center"/>
        </w:trPr>
        <w:tc>
          <w:tcPr>
            <w:tcW w:w="848" w:type="dxa"/>
            <w:shd w:val="clear" w:color="auto" w:fill="auto"/>
            <w:noWrap w:val="0"/>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shd w:val="clear" w:color="auto" w:fill="auto"/>
            <w:noWrap w:val="0"/>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shd w:val="clear" w:color="auto" w:fill="auto"/>
            <w:noWrap w:val="0"/>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shd w:val="clear" w:color="auto" w:fill="auto"/>
            <w:noWrap w:val="0"/>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shd w:val="clear" w:color="auto" w:fill="auto"/>
            <w:noWrap w:val="0"/>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shd w:val="clear" w:color="auto" w:fill="auto"/>
            <w:noWrap w:val="0"/>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1.1.1</w:t>
            </w:r>
          </w:p>
        </w:tc>
        <w:tc>
          <w:tcPr>
            <w:tcW w:w="3820" w:type="dxa"/>
            <w:shd w:val="clear" w:color="auto" w:fill="auto"/>
            <w:noWrap w:val="0"/>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1.1.2</w:t>
            </w:r>
          </w:p>
        </w:tc>
        <w:tc>
          <w:tcPr>
            <w:tcW w:w="3820"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3万学生规模以上且仪器设备总值超过3亿元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shd w:val="clear" w:color="auto" w:fill="auto"/>
            <w:noWrap w:val="0"/>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1.2.1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1.2.3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1.2.4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shd w:val="clear" w:color="auto" w:fill="auto"/>
            <w:noWrap w:val="0"/>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1.3.1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查财务</w:t>
            </w:r>
            <w:r>
              <w:rPr>
                <w:bCs/>
                <w:kern w:val="0"/>
                <w:szCs w:val="21"/>
              </w:rPr>
              <w:t>证据</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查财务证据</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bCs/>
                <w:kern w:val="0"/>
                <w:szCs w:val="21"/>
              </w:rPr>
              <w:t>查财务证据</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shd w:val="clear" w:color="auto" w:fill="auto"/>
            <w:noWrap w:val="0"/>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建议</w:t>
            </w: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1.4.2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有培训证书</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逐步建立和完善</w:t>
            </w:r>
            <w:r>
              <w:rPr>
                <w:kern w:val="0"/>
                <w:szCs w:val="21"/>
              </w:rPr>
              <w:t>实验室安全信息管理系统</w:t>
            </w:r>
            <w:r>
              <w:rPr>
                <w:rFonts w:hint="eastAsia"/>
                <w:kern w:val="0"/>
                <w:szCs w:val="21"/>
              </w:rPr>
              <w:t>和监控预警系统</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建立完整的实验室安全工作档案</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48" w:type="dxa"/>
            <w:shd w:val="clear" w:color="auto" w:fill="auto"/>
            <w:noWrap w:val="0"/>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shd w:val="clear" w:color="auto" w:fill="auto"/>
            <w:noWrap w:val="0"/>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有各类实验室安全管理细则</w:t>
            </w:r>
          </w:p>
        </w:tc>
        <w:tc>
          <w:tcPr>
            <w:tcW w:w="7374" w:type="dxa"/>
            <w:vMerge w:val="continue"/>
            <w:shd w:val="clear" w:color="auto" w:fill="auto"/>
            <w:noWrap w:val="0"/>
            <w:tcMar>
              <w:left w:w="45" w:type="dxa"/>
              <w:right w:w="45" w:type="dxa"/>
            </w:tcMar>
            <w:vAlign w:val="center"/>
          </w:tcPr>
          <w:p>
            <w:pPr>
              <w:spacing w:line="300" w:lineRule="exact"/>
              <w:rPr>
                <w:bCs/>
                <w:kern w:val="0"/>
                <w:szCs w:val="21"/>
              </w:rPr>
            </w:pP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有各类院系级实验安全管理制度</w:t>
            </w:r>
          </w:p>
        </w:tc>
        <w:tc>
          <w:tcPr>
            <w:tcW w:w="7374" w:type="dxa"/>
            <w:shd w:val="clear" w:color="auto" w:fill="auto"/>
            <w:noWrap w:val="0"/>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3.1.1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逐步开设实验室安全必修课或选修课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对于化学、生物、辐射等高风险的相关院系和专业，要逐步开设有学分的安全教育必修课，鼓励其他专业开设安全选修课</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3.1.2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w:t>
            </w:r>
          </w:p>
        </w:tc>
        <w:tc>
          <w:tcPr>
            <w:tcW w:w="7374" w:type="dxa"/>
            <w:shd w:val="clear" w:color="auto" w:fill="auto"/>
            <w:noWrap w:val="0"/>
            <w:tcMar>
              <w:left w:w="45" w:type="dxa"/>
              <w:right w:w="45" w:type="dxa"/>
            </w:tcMar>
            <w:vAlign w:val="center"/>
          </w:tcPr>
          <w:p>
            <w:pPr>
              <w:widowControl/>
              <w:spacing w:line="300" w:lineRule="exact"/>
              <w:rPr>
                <w:bCs/>
                <w:kern w:val="0"/>
                <w:szCs w:val="21"/>
              </w:rPr>
            </w:pPr>
            <w:r>
              <w:rPr>
                <w:rFonts w:hint="eastAsia"/>
                <w:bCs/>
                <w:kern w:val="0"/>
                <w:szCs w:val="21"/>
              </w:rPr>
              <w:t>查看历年存档记录，包含培训时间、内容、人数、通知、会场照片等</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3.1.3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shd w:val="clear" w:color="auto" w:fill="auto"/>
            <w:noWrap w:val="0"/>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shd w:val="clear" w:color="auto" w:fill="auto"/>
            <w:noWrap w:val="0"/>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建设适合学校特色的安全文化</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编印</w:t>
            </w:r>
            <w:r>
              <w:rPr>
                <w:rFonts w:hint="eastAsia"/>
                <w:kern w:val="0"/>
                <w:szCs w:val="21"/>
              </w:rPr>
              <w:t>学校</w:t>
            </w:r>
            <w:r>
              <w:rPr>
                <w:kern w:val="0"/>
                <w:szCs w:val="21"/>
              </w:rPr>
              <w:t>实验室安全手册</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r>
              <w:rPr>
                <w:rFonts w:hint="eastAsia"/>
                <w:kern w:val="0"/>
                <w:szCs w:val="21"/>
              </w:rPr>
              <w:t>方式，加强安全宣传</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bCs/>
                <w:kern w:val="0"/>
                <w:szCs w:val="21"/>
              </w:rPr>
              <w:t>学校、学院层面</w:t>
            </w:r>
            <w:r>
              <w:rPr>
                <w:rFonts w:hint="eastAsia"/>
                <w:bCs/>
                <w:kern w:val="0"/>
                <w:szCs w:val="21"/>
              </w:rPr>
              <w:t>建立危险源分布清单</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涉及剧毒品、病原微生物、放射性同位素、强磁等高危场所，有显著明确的警示标识</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shd w:val="clear" w:color="auto" w:fill="auto"/>
            <w:noWrap w:val="0"/>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建议每年不少于4次，并记录存档</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shd w:val="clear" w:color="auto" w:fill="auto"/>
            <w:noWrap w:val="0"/>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shd w:val="clear" w:color="auto" w:fill="auto"/>
            <w:noWrap w:val="0"/>
            <w:tcMar>
              <w:left w:w="45" w:type="dxa"/>
              <w:right w:w="45" w:type="dxa"/>
            </w:tcMar>
            <w:vAlign w:val="center"/>
          </w:tcPr>
          <w:p>
            <w:pPr>
              <w:spacing w:line="300" w:lineRule="exact"/>
              <w:jc w:val="left"/>
              <w:rPr>
                <w:bCs/>
                <w:kern w:val="0"/>
                <w:szCs w:val="21"/>
              </w:rPr>
            </w:pPr>
            <w:r>
              <w:rPr>
                <w:rFonts w:hint="eastAsia"/>
                <w:kern w:val="0"/>
                <w:szCs w:val="21"/>
              </w:rPr>
              <w:t>建议每月不少于1次，并记录存档</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shd w:val="clear" w:color="auto" w:fill="auto"/>
            <w:noWrap w:val="0"/>
            <w:tcMar>
              <w:left w:w="45" w:type="dxa"/>
              <w:right w:w="45" w:type="dxa"/>
            </w:tcMar>
            <w:vAlign w:val="center"/>
          </w:tcPr>
          <w:p>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；修改</w:t>
            </w:r>
            <w:r>
              <w:rPr>
                <w:bCs/>
                <w:kern w:val="0"/>
                <w:szCs w:val="21"/>
              </w:rPr>
              <w:t>资料规范存档</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院系应对问题隐患的进行及时</w:t>
            </w:r>
            <w:r>
              <w:rPr>
                <w:kern w:val="0"/>
                <w:szCs w:val="21"/>
              </w:rPr>
              <w:t>整改</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查看相关资料</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shd w:val="clear" w:color="auto" w:fill="auto"/>
            <w:noWrap w:val="0"/>
            <w:tcMar>
              <w:left w:w="45" w:type="dxa"/>
              <w:right w:w="45" w:type="dxa"/>
            </w:tcMar>
            <w:vAlign w:val="center"/>
          </w:tcPr>
          <w:p>
            <w:pPr>
              <w:widowControl/>
              <w:spacing w:line="300" w:lineRule="exact"/>
              <w:jc w:val="left"/>
              <w:rPr>
                <w:szCs w:val="21"/>
              </w:rPr>
            </w:pPr>
            <w:r>
              <w:rPr>
                <w:rFonts w:hint="eastAsia"/>
                <w:szCs w:val="21"/>
              </w:rPr>
              <w:t>有危险源的实验场所应张贴安全信息牌</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平方米以上实验室要有两扇门；实验楼大走廊保证留有大于2.0米净宽的消防通道；实验室</w:t>
            </w:r>
            <w:r>
              <w:rPr>
                <w:szCs w:val="21"/>
              </w:rPr>
              <w:t>操作区层高不低于</w:t>
            </w:r>
            <w:r>
              <w:rPr>
                <w:rFonts w:hint="eastAsia"/>
                <w:szCs w:val="21"/>
              </w:rPr>
              <w:t>2米；理工农医类实验室人均面积不小于2.5平方米</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kern w:val="0"/>
                <w:szCs w:val="21"/>
              </w:rPr>
            </w:pPr>
            <w:r>
              <w:rPr>
                <w:rFonts w:eastAsia="等线"/>
                <w:szCs w:val="21"/>
              </w:rPr>
              <w:t>5.1.3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kern w:val="0"/>
                <w:szCs w:val="21"/>
              </w:rPr>
            </w:pPr>
            <w:r>
              <w:rPr>
                <w:rFonts w:eastAsia="等线"/>
                <w:szCs w:val="21"/>
              </w:rPr>
              <w:t>5.1.4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shd w:val="clear" w:color="auto" w:fill="auto"/>
            <w:noWrap w:val="0"/>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shd w:val="clear" w:color="auto" w:fill="auto"/>
            <w:noWrap w:val="0"/>
            <w:tcMar>
              <w:left w:w="45" w:type="dxa"/>
              <w:right w:w="45" w:type="dxa"/>
            </w:tcMar>
            <w:vAlign w:val="center"/>
          </w:tcPr>
          <w:p>
            <w:pPr>
              <w:widowControl/>
              <w:spacing w:line="300" w:lineRule="exact"/>
              <w:jc w:val="left"/>
              <w:rPr>
                <w:bCs/>
                <w:szCs w:val="21"/>
              </w:rPr>
            </w:pPr>
            <w:r>
              <w:rPr>
                <w:rFonts w:hint="eastAsia"/>
                <w:szCs w:val="21"/>
              </w:rPr>
              <w:t>应急备用钥匙需集中存放、专人管理，应急时方便取用</w:t>
            </w:r>
          </w:p>
        </w:tc>
        <w:tc>
          <w:tcPr>
            <w:tcW w:w="2829" w:type="dxa"/>
            <w:noWrap w:val="0"/>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kern w:val="0"/>
                <w:szCs w:val="21"/>
              </w:rPr>
            </w:pPr>
            <w:r>
              <w:rPr>
                <w:rFonts w:eastAsia="等线"/>
                <w:szCs w:val="21"/>
              </w:rPr>
              <w:t>5.1.6</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实验设备需做好振动和噪音的屏蔽</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容易产生振动的设备，需考虑振动源的屏蔽；易对外产生磁场或易受磁场干扰的设备，需做好磁屏蔽；实验室噪声一般低于55分贝（机械设备可低于70分贝）</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shd w:val="clear" w:color="auto" w:fill="auto"/>
            <w:noWrap w:val="0"/>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shd w:val="clear" w:color="auto" w:fill="auto"/>
            <w:noWrap w:val="0"/>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shd w:val="clear" w:color="auto" w:fill="auto"/>
            <w:noWrap w:val="0"/>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shd w:val="clear" w:color="auto" w:fill="auto"/>
            <w:noWrap w:val="0"/>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bCs/>
                <w:szCs w:val="21"/>
              </w:rPr>
              <w:t>实验期间人员必须在岗，并有值日情况记录</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shd w:val="clear" w:color="auto" w:fill="auto"/>
            <w:noWrap w:val="0"/>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shd w:val="clear" w:color="auto" w:fill="auto"/>
            <w:noWrap w:val="0"/>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shd w:val="clear" w:color="auto" w:fill="auto"/>
            <w:noWrap w:val="0"/>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shd w:val="clear" w:color="auto" w:fill="auto"/>
            <w:noWrap w:val="0"/>
            <w:tcMar>
              <w:left w:w="45" w:type="dxa"/>
              <w:right w:w="45" w:type="dxa"/>
            </w:tcMar>
            <w:vAlign w:val="center"/>
          </w:tcPr>
          <w:p>
            <w:pPr>
              <w:spacing w:line="300" w:lineRule="exact"/>
              <w:jc w:val="left"/>
              <w:rPr>
                <w:bCs/>
                <w:szCs w:val="21"/>
              </w:rPr>
            </w:pPr>
            <w:r>
              <w:rPr>
                <w:rFonts w:hint="eastAsia"/>
                <w:szCs w:val="21"/>
              </w:rPr>
              <w:t>具有</w:t>
            </w:r>
            <w:r>
              <w:rPr>
                <w:szCs w:val="21"/>
              </w:rPr>
              <w:t>危险隐患的实验室及设备在拆除前必须做好安全论证</w:t>
            </w:r>
          </w:p>
        </w:tc>
        <w:tc>
          <w:tcPr>
            <w:tcW w:w="2829" w:type="dxa"/>
            <w:noWrap w:val="0"/>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实验室内烟感</w:t>
            </w:r>
            <w:r>
              <w:rPr>
                <w:rFonts w:ascii="宋体" w:hAnsi="宋体"/>
                <w:kern w:val="0"/>
                <w:szCs w:val="21"/>
              </w:rPr>
              <w:t>报警器、</w:t>
            </w:r>
            <w:r>
              <w:rPr>
                <w:rFonts w:hint="eastAsia" w:ascii="宋体" w:hAnsi="宋体"/>
                <w:kern w:val="0"/>
                <w:szCs w:val="21"/>
              </w:rPr>
              <w:t>灭火器、灭火毯、消防沙桶、消防喷淋等，应正常有效、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r>
              <w:rPr>
                <w:rFonts w:ascii="宋体" w:hAnsi="宋体"/>
                <w:bCs/>
                <w:kern w:val="0"/>
                <w:szCs w:val="21"/>
              </w:rPr>
              <w:t>公共</w:t>
            </w:r>
            <w:r>
              <w:rPr>
                <w:rFonts w:hint="eastAsia" w:ascii="宋体" w:hAnsi="宋体"/>
                <w:bCs/>
                <w:kern w:val="0"/>
                <w:szCs w:val="21"/>
              </w:rPr>
              <w:t>区域</w:t>
            </w:r>
            <w:r>
              <w:rPr>
                <w:rFonts w:ascii="宋体" w:hAnsi="宋体"/>
                <w:bCs/>
                <w:kern w:val="0"/>
                <w:szCs w:val="21"/>
              </w:rPr>
              <w:t>灭火器数量</w:t>
            </w:r>
            <w:r>
              <w:rPr>
                <w:rFonts w:hint="eastAsia" w:ascii="宋体" w:hAnsi="宋体"/>
                <w:bCs/>
                <w:kern w:val="0"/>
                <w:szCs w:val="21"/>
              </w:rPr>
              <w:t>（间距）</w:t>
            </w:r>
            <w:r>
              <w:rPr>
                <w:rFonts w:ascii="宋体" w:hAnsi="宋体"/>
                <w:bCs/>
                <w:kern w:val="0"/>
                <w:szCs w:val="21"/>
              </w:rPr>
              <w:t>与</w:t>
            </w:r>
            <w:r>
              <w:rPr>
                <w:rFonts w:hint="eastAsia" w:ascii="宋体" w:hAnsi="宋体"/>
                <w:bCs/>
                <w:kern w:val="0"/>
                <w:szCs w:val="21"/>
              </w:rPr>
              <w:t>实验室</w:t>
            </w:r>
            <w:r>
              <w:rPr>
                <w:rFonts w:ascii="宋体" w:hAnsi="宋体"/>
                <w:bCs/>
                <w:kern w:val="0"/>
                <w:szCs w:val="21"/>
              </w:rPr>
              <w:t>安全等级</w:t>
            </w:r>
            <w:r>
              <w:rPr>
                <w:rFonts w:hint="eastAsia" w:ascii="宋体" w:hAnsi="宋体"/>
                <w:bCs/>
                <w:kern w:val="0"/>
                <w:szCs w:val="21"/>
              </w:rPr>
              <w:t>相</w:t>
            </w:r>
            <w:r>
              <w:rPr>
                <w:rFonts w:ascii="宋体" w:hAnsi="宋体"/>
                <w:bCs/>
                <w:kern w:val="0"/>
                <w:szCs w:val="21"/>
              </w:rPr>
              <w:t>适应</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在显著位置张贴有紧急逃生疏散路线图</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图上逃生路线应有二条以上；路线与现场情况符合；主要逃生路径（室内、楼梯、通道和出口处）有足够的紧急照明灯，功能正常；师生应熟悉紧急疏散路线及火场逃生注意事项</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6.2.1</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有显著引导标识</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6.2.2</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-10cm），</w:t>
            </w:r>
            <w:r>
              <w:rPr>
                <w:rFonts w:hint="eastAsia" w:ascii="宋体" w:hAnsi="宋体"/>
                <w:bCs/>
                <w:kern w:val="0"/>
                <w:szCs w:val="21"/>
              </w:rPr>
              <w:t>水流畅通平稳</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6.2.3</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6.3.1</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 xml:space="preserve">配备符合要求的通风系统 </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风速0.</w:t>
            </w:r>
            <w:r>
              <w:rPr>
                <w:rFonts w:ascii="宋体" w:hAnsi="宋体"/>
                <w:kern w:val="0"/>
                <w:szCs w:val="21"/>
              </w:rPr>
              <w:t>3</w:t>
            </w:r>
            <w:r>
              <w:rPr>
                <w:rFonts w:hint="eastAsia" w:ascii="宋体" w:hAnsi="宋体"/>
                <w:kern w:val="0"/>
                <w:szCs w:val="21"/>
              </w:rPr>
              <w:t>5-0.</w:t>
            </w:r>
            <w:r>
              <w:rPr>
                <w:rFonts w:ascii="宋体" w:hAnsi="宋体"/>
                <w:kern w:val="0"/>
                <w:szCs w:val="21"/>
              </w:rPr>
              <w:t>7</w:t>
            </w:r>
            <w:r>
              <w:rPr>
                <w:rFonts w:hint="eastAsia" w:ascii="宋体" w:hAnsi="宋体"/>
                <w:kern w:val="0"/>
                <w:szCs w:val="21"/>
              </w:rPr>
              <w:t>5 m/s，定期进行维护、检修；</w:t>
            </w:r>
            <w:r>
              <w:rPr>
                <w:rFonts w:ascii="宋体" w:hAnsi="宋体"/>
                <w:kern w:val="0"/>
                <w:szCs w:val="21"/>
              </w:rPr>
              <w:t>屋顶风机固定无松动、无异常噪声</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6.3.2</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通风橱的配置合理、使用正常、操作合规</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根据需要在通风橱管路上安装有毒有害气体的吸附或处理装置（如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hint="eastAsia" w:ascii="宋体" w:hAnsi="宋体"/>
                <w:kern w:val="0"/>
                <w:szCs w:val="21"/>
              </w:rPr>
              <w:t>15cm，保持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hint="eastAsia" w:ascii="宋体" w:hAnsi="宋体"/>
                <w:kern w:val="0"/>
                <w:szCs w:val="21"/>
              </w:rPr>
              <w:t>应距离调节门内侧15cm左右，以免</w:t>
            </w:r>
            <w:r>
              <w:rPr>
                <w:rFonts w:ascii="宋体" w:hAnsi="宋体"/>
                <w:kern w:val="0"/>
                <w:szCs w:val="21"/>
              </w:rPr>
              <w:t>掉落</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6.4.1</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重点关注剧毒品、病原微生物、特种设备和放射源存放点等危险源的管理</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6.4.2</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noWrap w:val="0"/>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6.5.1</w:t>
            </w:r>
          </w:p>
        </w:tc>
        <w:tc>
          <w:tcPr>
            <w:tcW w:w="3820" w:type="dxa"/>
            <w:shd w:val="clear" w:color="auto" w:fill="auto"/>
            <w:noWrap w:val="0"/>
            <w:tcMar>
              <w:left w:w="45" w:type="dxa"/>
              <w:right w:w="45" w:type="dxa"/>
            </w:tcMar>
            <w:vAlign w:val="center"/>
          </w:tcPr>
          <w:p>
            <w:pPr>
              <w:spacing w:line="300" w:lineRule="exact"/>
              <w:rPr>
                <w:rFonts w:ascii="宋体" w:hAnsi="宋体"/>
                <w:szCs w:val="21"/>
              </w:rPr>
            </w:pPr>
            <w:r>
              <w:rPr>
                <w:rFonts w:hint="eastAsia" w:ascii="宋体" w:hAnsi="宋体"/>
                <w:szCs w:val="21"/>
              </w:rPr>
              <w:t>防爆实验室需符合防爆设计要求</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气体报警系统、监控系统及断电断水应急系统等；对于产生可燃气体或蒸汽的装置，应在其进、出口处安装阻火器；室内应加强通风，以使爆炸物浓度控制在爆炸下限值以下</w:t>
            </w:r>
          </w:p>
        </w:tc>
        <w:tc>
          <w:tcPr>
            <w:tcW w:w="2829" w:type="dxa"/>
            <w:noWrap w:val="0"/>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6.5.2</w:t>
            </w:r>
          </w:p>
        </w:tc>
        <w:tc>
          <w:tcPr>
            <w:tcW w:w="3820" w:type="dxa"/>
            <w:shd w:val="clear" w:color="auto" w:fill="auto"/>
            <w:noWrap w:val="0"/>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shd w:val="clear" w:color="auto" w:fill="auto"/>
            <w:noWrap w:val="0"/>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noWrap w:val="0"/>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7.1.1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7.1.2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满足</w:t>
            </w:r>
            <w:r>
              <w:rPr>
                <w:kern w:val="0"/>
                <w:szCs w:val="21"/>
              </w:rPr>
              <w:t>爆炸性环境用电气设备</w:t>
            </w:r>
            <w:r>
              <w:rPr>
                <w:rFonts w:hint="eastAsia"/>
                <w:kern w:val="0"/>
                <w:szCs w:val="21"/>
              </w:rPr>
              <w:t>的相关标准</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进排水系统布置合理，运行正常</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shd w:val="clear" w:color="auto" w:fill="auto"/>
            <w:noWrap w:val="0"/>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实验人员需配备合适的个人防护用具</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；穿着化学、生物类实验服或带实验手套，不得随意出入非实验区</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个人防护用具分散存放，并有明显标识</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shd w:val="clear" w:color="auto" w:fill="auto"/>
            <w:noWrap w:val="0"/>
            <w:tcMar>
              <w:left w:w="45" w:type="dxa"/>
              <w:right w:w="45" w:type="dxa"/>
            </w:tcMar>
            <w:vAlign w:val="center"/>
          </w:tcPr>
          <w:p>
            <w:pPr>
              <w:spacing w:line="300" w:lineRule="exact"/>
              <w:jc w:val="left"/>
              <w:rPr>
                <w:kern w:val="0"/>
                <w:szCs w:val="21"/>
              </w:rPr>
            </w:pPr>
            <w:r>
              <w:rPr>
                <w:kern w:val="0"/>
                <w:szCs w:val="21"/>
              </w:rPr>
              <w:t>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7374" w:type="dxa"/>
            <w:shd w:val="clear" w:color="auto" w:fill="auto"/>
            <w:noWrap w:val="0"/>
            <w:tcMar>
              <w:left w:w="45" w:type="dxa"/>
              <w:right w:w="45" w:type="dxa"/>
            </w:tcMar>
            <w:vAlign w:val="center"/>
          </w:tcPr>
          <w:p>
            <w:pPr>
              <w:spacing w:line="300" w:lineRule="exact"/>
              <w:jc w:val="left"/>
              <w:rPr>
                <w:kern w:val="0"/>
                <w:szCs w:val="21"/>
              </w:rPr>
            </w:pPr>
            <w:r>
              <w:rPr>
                <w:rFonts w:hint="eastAsia"/>
                <w:kern w:val="0"/>
                <w:szCs w:val="21"/>
              </w:rPr>
              <w:t>查看相关供应商的行政许可资质证书复印件</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shd w:val="clear" w:color="auto" w:fill="auto"/>
            <w:noWrap w:val="0"/>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shd w:val="clear" w:color="auto" w:fill="auto"/>
            <w:noWrap w:val="0"/>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shd w:val="clear" w:color="auto" w:fill="auto"/>
            <w:noWrap w:val="0"/>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shd w:val="clear" w:color="auto" w:fill="auto"/>
            <w:noWrap w:val="0"/>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shd w:val="clear" w:color="auto" w:fill="auto"/>
            <w:noWrap w:val="0"/>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8.2.1</w:t>
            </w:r>
          </w:p>
        </w:tc>
        <w:tc>
          <w:tcPr>
            <w:tcW w:w="3820" w:type="dxa"/>
            <w:shd w:val="clear" w:color="auto" w:fill="auto"/>
            <w:noWrap w:val="0"/>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shd w:val="clear" w:color="auto" w:fill="auto"/>
            <w:noWrap w:val="0"/>
            <w:tcMar>
              <w:left w:w="45" w:type="dxa"/>
              <w:right w:w="45" w:type="dxa"/>
            </w:tcMar>
            <w:vAlign w:val="center"/>
          </w:tcPr>
          <w:p>
            <w:pPr>
              <w:widowControl/>
              <w:spacing w:line="300" w:lineRule="exact"/>
              <w:rPr>
                <w:szCs w:val="21"/>
              </w:rPr>
            </w:pPr>
            <w:r>
              <w:rPr>
                <w:rFonts w:hint="eastAsia"/>
                <w:szCs w:val="21"/>
              </w:rPr>
              <w:t>试剂药品有专用存放空间并科学有序存放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8.2.3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不应超过100L或100kg，其中易燃易爆性化学品的存放总量不应超过50L 或50kg，且单一包装容器不应大于20L或20kg；</w:t>
            </w:r>
            <w:r>
              <w:rPr>
                <w:kern w:val="0"/>
                <w:szCs w:val="21"/>
              </w:rPr>
              <w:t>单个实验装置存在10L以上甲类物质储罐，或20L以上乙类物质储罐，或50L以上丙类物质储罐，需加装泄露报警器及通风联动装置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8.2.4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化学品标签应有显著完整清晰</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做好有毒和异味废气的收集和防护</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管控类化学品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其中第一类易制毒品实行“五双”管理制度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设置必要的气体报警装置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由具备</w:t>
            </w:r>
            <w:r>
              <w:rPr>
                <w:kern w:val="0"/>
                <w:szCs w:val="21"/>
              </w:rPr>
              <w:t>资质的单位（企业）签约处置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rFonts w:hint="eastAsia"/>
                <w:bCs/>
                <w:kern w:val="0"/>
                <w:szCs w:val="21"/>
              </w:rPr>
              <w:t>查看</w:t>
            </w:r>
            <w:r>
              <w:rPr>
                <w:bCs/>
                <w:kern w:val="0"/>
                <w:szCs w:val="21"/>
              </w:rPr>
              <w:t>委托合同及处置单位的资质</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学校有统一的化学实验废弃物标签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配备化学实验废弃物分类容器</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shd w:val="clear" w:color="auto" w:fill="auto"/>
            <w:noWrap w:val="0"/>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学校有统一的试剂标签</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盛放配置试剂的烧杯、烧瓶不得无盖放置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9.1.1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9.1.2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开展病原微生物实验须向卫生或农业主管部门申报备案</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9.1.3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致病性病原微生物</w:t>
            </w:r>
            <w:r>
              <w:rPr>
                <w:rFonts w:hint="eastAsia"/>
                <w:kern w:val="0"/>
                <w:szCs w:val="21"/>
              </w:rPr>
              <w:t>的实验</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9.2.1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shd w:val="clear" w:color="auto" w:fill="auto"/>
            <w:noWrap w:val="0"/>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shd w:val="clear" w:color="auto" w:fill="auto"/>
            <w:noWrap w:val="0"/>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shd w:val="clear" w:color="auto" w:fill="auto"/>
            <w:noWrap w:val="0"/>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shd w:val="clear" w:color="auto" w:fill="auto"/>
            <w:noWrap w:val="0"/>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9.7.1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生化废弃物的处置应有专用集中场所</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9.7.2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生化废弃物的处置应满足特殊要求</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10.1.1</w:t>
            </w:r>
          </w:p>
        </w:tc>
        <w:tc>
          <w:tcPr>
            <w:tcW w:w="3820" w:type="dxa"/>
            <w:shd w:val="clear" w:color="auto" w:fill="auto"/>
            <w:noWrap w:val="0"/>
            <w:tcMar>
              <w:left w:w="45" w:type="dxa"/>
              <w:right w:w="45" w:type="dxa"/>
            </w:tcMar>
            <w:vAlign w:val="center"/>
          </w:tcPr>
          <w:p>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取得“辐射安全许可证”</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（4年</w:t>
            </w:r>
            <w:r>
              <w:rPr>
                <w:kern w:val="0"/>
                <w:szCs w:val="21"/>
              </w:rPr>
              <w:t>复训</w:t>
            </w:r>
            <w:r>
              <w:rPr>
                <w:rFonts w:hint="eastAsia"/>
                <w:kern w:val="0"/>
                <w:szCs w:val="21"/>
              </w:rPr>
              <w:t>1次），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有资质单位按时进行剂量检测（3个月一次）</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学校设</w:t>
            </w:r>
            <w:r>
              <w:rPr>
                <w:kern w:val="0"/>
                <w:szCs w:val="21"/>
              </w:rPr>
              <w:t>有专门存放放射性废弃物的容器和暂存库</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10.2.4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重点关注</w:t>
            </w:r>
            <w:r>
              <w:rPr>
                <w:kern w:val="0"/>
                <w:szCs w:val="21"/>
              </w:rPr>
              <w:t>Г辐照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 xml:space="preserve"> </w:t>
            </w:r>
            <w:r>
              <w:rPr>
                <w:kern w:val="0"/>
                <w:szCs w:val="21"/>
              </w:rPr>
              <w:t xml:space="preserve">    </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374" w:type="dxa"/>
            <w:shd w:val="clear" w:color="auto" w:fill="auto"/>
            <w:noWrap w:val="0"/>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仪器设备的接电和用电符合相关要求</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仪器设备接地系统应按规范要求，采用铜质材料，且设计寿命不应低于50年，接地电阻不高于0.5欧；电脑、空调、电加热器、饮水机等不随意开机过夜；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11.1.4</w:t>
            </w:r>
          </w:p>
        </w:tc>
        <w:tc>
          <w:tcPr>
            <w:tcW w:w="3820" w:type="dxa"/>
            <w:shd w:val="clear" w:color="auto" w:fill="auto"/>
            <w:noWrap w:val="0"/>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自研自制设备时，须充分考虑安全系数，并有安全防护措施</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关注要点：机床应保持清洁整齐；严禁在床头、床面、刀架上放一切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等配饰物，禁穿拖鞋、高跟鞋等；设备在运转时，严禁用手调整；禁止操作人员的身体任一部位进入危险区，如需调整应首先关停机械设备</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shd w:val="clear" w:color="auto" w:fill="auto"/>
            <w:noWrap w:val="0"/>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shd w:val="clear" w:color="auto" w:fill="auto"/>
            <w:noWrap w:val="0"/>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C以上，锻锤空置时应垫有木块</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spacing w:line="300" w:lineRule="exact"/>
              <w:rPr>
                <w:szCs w:val="21"/>
              </w:rPr>
            </w:pPr>
            <w:r>
              <w:rPr>
                <w:rFonts w:hint="eastAsia"/>
                <w:kern w:val="0"/>
                <w:szCs w:val="21"/>
              </w:rPr>
              <w:t>11.2.4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2米以上高空临边、攀登作业，要穿防滑鞋、使用安全带，有相关安全操作规程</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关注要点：电气设备所用的保险丝(管)的额定电流应与其负荷容量相适应，无用其它金属线代替保险丝(片)现象；各种电器设备及电线应始终保持干燥，防止浸湿，以防短路引起火灾或烧坏电气设备；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shd w:val="clear" w:color="auto" w:fill="auto"/>
            <w:noWrap w:val="0"/>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保证实验室粉尘浓度在爆炸限以下，并配备合适的灭火装置</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禁用干粉、水剂型和泡沫型灭火器；粉尘浓度较高的场所，有加湿装置（喷雾）使湿度在65%以上</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额定起重量大于等于3t且提升高度大于等于2m的起重设备须取得《特种设备使用登记证》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起重机械需定期保养，设置警示标示，安装防护设施</w:t>
            </w:r>
          </w:p>
        </w:tc>
        <w:tc>
          <w:tcPr>
            <w:tcW w:w="7374" w:type="dxa"/>
            <w:shd w:val="clear" w:color="auto" w:fill="auto"/>
            <w:noWrap w:val="0"/>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noWrap w:val="0"/>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shd w:val="clear" w:color="auto" w:fill="auto"/>
            <w:noWrap w:val="0"/>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大型实验气体罐的存储场所应通风、干燥、防止雨（雪）淋、水浸，避免阳光直射，严禁明火和其它热源；大型实验气体（窒息、可燃类）罐必须放置在室外，周围设置隔离装置、安全警示标识；可燃性性</w:t>
            </w:r>
            <w:r>
              <w:rPr>
                <w:kern w:val="0"/>
                <w:szCs w:val="21"/>
              </w:rPr>
              <w:t>气罐远离火源热源</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shd w:val="clear" w:color="auto" w:fill="auto"/>
            <w:noWrap w:val="0"/>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shd w:val="clear" w:color="auto" w:fill="auto"/>
            <w:noWrap w:val="0"/>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p>
        </w:tc>
        <w:tc>
          <w:tcPr>
            <w:tcW w:w="2829" w:type="dxa"/>
            <w:noWrap w:val="0"/>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shd w:val="clear" w:color="auto" w:fill="auto"/>
            <w:noWrap w:val="0"/>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2829" w:type="dxa"/>
            <w:noWrap w:val="0"/>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noWrap w:val="0"/>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shd w:val="clear" w:color="auto" w:fill="auto"/>
            <w:noWrap w:val="0"/>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noWrap w:val="0"/>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shd w:val="clear" w:color="auto" w:fill="auto"/>
            <w:noWrap w:val="0"/>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noWrap w:val="0"/>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shd w:val="clear" w:color="auto" w:fill="auto"/>
            <w:noWrap w:val="0"/>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shd w:val="clear" w:color="auto" w:fill="auto"/>
            <w:noWrap w:val="0"/>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noWrap w:val="0"/>
            <w:tcMar>
              <w:left w:w="45" w:type="dxa"/>
              <w:right w:w="45" w:type="dxa"/>
            </w:tcMar>
            <w:vAlign w:val="center"/>
          </w:tcPr>
          <w:p>
            <w:pPr>
              <w:widowControl/>
              <w:spacing w:line="300" w:lineRule="exact"/>
              <w:jc w:val="left"/>
              <w:rPr>
                <w:kern w:val="0"/>
                <w:szCs w:val="21"/>
              </w:rPr>
            </w:pPr>
          </w:p>
        </w:tc>
      </w:tr>
    </w:tbl>
    <w:p>
      <w:pPr>
        <w:adjustRightInd w:val="0"/>
        <w:snapToGrid w:val="0"/>
        <w:spacing w:before="156" w:beforeLines="50"/>
        <w:jc w:val="left"/>
        <w:sectPr>
          <w:pgSz w:w="16838" w:h="11906" w:orient="landscape"/>
          <w:pgMar w:top="1531" w:right="2098" w:bottom="1531" w:left="1985" w:header="851" w:footer="992" w:gutter="0"/>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42EE5"/>
    <w:rsid w:val="44742E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2019-05-06T23:49:00Z</dcterms:created>
  <dc:creator>hjx</dc:creator>
  <cp:lastModifiedBy>hjx</cp:lastModifiedBy>
  <dcterms:modified xsi:type="dcterms:W3CDTF">2019-05-06T23:50:03Z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